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08F679BC"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8D1CA0">
            <w:rPr>
              <w:rStyle w:val="Style1"/>
            </w:rPr>
            <w:t>2558</w:t>
          </w:r>
        </w:sdtContent>
      </w:sdt>
    </w:p>
    <w:p w14:paraId="55B8DA2F" w14:textId="6E796938"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Pr>
              <w:id w:val="-966278082"/>
              <w:placeholder>
                <w:docPart w:val="9DB320EF2ACF41C6AA307381EC78B9AE"/>
              </w:placeholder>
            </w:sdtPr>
            <w:sdtEndPr>
              <w:rPr>
                <w:rStyle w:val="DefaultParagraphFont"/>
                <w:noProof/>
                <w:color w:val="auto"/>
              </w:rPr>
            </w:sdtEndPr>
            <w:sdtContent>
              <w:r w:rsidR="008D1CA0" w:rsidRPr="00A9250D">
                <w:rPr>
                  <w:rFonts w:eastAsiaTheme="minorEastAsia" w:cs="Arial"/>
                  <w:color w:val="0000FF"/>
                  <w:szCs w:val="20"/>
                </w:rPr>
                <w:t xml:space="preserve">Hospital </w:t>
              </w:r>
              <w:r w:rsidR="008D1CA0">
                <w:rPr>
                  <w:rFonts w:eastAsiaTheme="minorEastAsia" w:cs="Times New Roman"/>
                  <w:iCs/>
                  <w:color w:val="0000FF"/>
                  <w:szCs w:val="20"/>
                </w:rPr>
                <w:t>30-D</w:t>
              </w:r>
              <w:r w:rsidR="008D1CA0" w:rsidRPr="00A9250D">
                <w:rPr>
                  <w:rFonts w:eastAsiaTheme="minorEastAsia" w:cs="Times New Roman"/>
                  <w:iCs/>
                  <w:color w:val="0000FF"/>
                  <w:szCs w:val="20"/>
                </w:rPr>
                <w:t xml:space="preserve">ay, </w:t>
              </w:r>
              <w:r w:rsidR="008D1CA0">
                <w:rPr>
                  <w:rFonts w:eastAsiaTheme="minorEastAsia" w:cs="Times New Roman"/>
                  <w:iCs/>
                  <w:color w:val="0000FF"/>
                  <w:szCs w:val="20"/>
                </w:rPr>
                <w:t>A</w:t>
              </w:r>
              <w:r w:rsidR="008D1CA0" w:rsidRPr="00A9250D">
                <w:rPr>
                  <w:rFonts w:eastAsiaTheme="minorEastAsia" w:cs="Times New Roman"/>
                  <w:iCs/>
                  <w:color w:val="0000FF"/>
                  <w:szCs w:val="20"/>
                </w:rPr>
                <w:t>ll-</w:t>
              </w:r>
              <w:r w:rsidR="008D1CA0">
                <w:rPr>
                  <w:rFonts w:eastAsiaTheme="minorEastAsia" w:cs="Times New Roman"/>
                  <w:iCs/>
                  <w:color w:val="0000FF"/>
                  <w:szCs w:val="20"/>
                </w:rPr>
                <w:t>C</w:t>
              </w:r>
              <w:r w:rsidR="008D1CA0" w:rsidRPr="00A9250D">
                <w:rPr>
                  <w:rFonts w:eastAsiaTheme="minorEastAsia" w:cs="Times New Roman"/>
                  <w:iCs/>
                  <w:color w:val="0000FF"/>
                  <w:szCs w:val="20"/>
                </w:rPr>
                <w:t xml:space="preserve">ause, </w:t>
              </w:r>
              <w:r w:rsidR="008D1CA0">
                <w:rPr>
                  <w:rFonts w:eastAsiaTheme="minorEastAsia" w:cs="Times New Roman"/>
                  <w:iCs/>
                  <w:color w:val="0000FF"/>
                  <w:szCs w:val="20"/>
                </w:rPr>
                <w:t>R</w:t>
              </w:r>
              <w:r w:rsidR="008D1CA0" w:rsidRPr="00A9250D">
                <w:rPr>
                  <w:rFonts w:eastAsiaTheme="minorEastAsia" w:cs="Arial"/>
                  <w:color w:val="0000FF"/>
                  <w:szCs w:val="20"/>
                </w:rPr>
                <w:t>isk-</w:t>
              </w:r>
              <w:r w:rsidR="008D1CA0">
                <w:rPr>
                  <w:rFonts w:eastAsiaTheme="minorEastAsia" w:cs="Arial"/>
                  <w:color w:val="0000FF"/>
                  <w:szCs w:val="20"/>
                </w:rPr>
                <w:t>S</w:t>
              </w:r>
              <w:r w:rsidR="008D1CA0" w:rsidRPr="00A9250D">
                <w:rPr>
                  <w:rFonts w:eastAsiaTheme="minorEastAsia" w:cs="Arial"/>
                  <w:color w:val="0000FF"/>
                  <w:szCs w:val="20"/>
                </w:rPr>
                <w:t>tandardized</w:t>
              </w:r>
              <w:r w:rsidR="008D1CA0" w:rsidRPr="00A9250D">
                <w:rPr>
                  <w:rFonts w:eastAsiaTheme="minorEastAsia" w:cs="Times New Roman"/>
                  <w:iCs/>
                  <w:color w:val="0000FF"/>
                  <w:szCs w:val="20"/>
                </w:rPr>
                <w:t xml:space="preserve"> </w:t>
              </w:r>
              <w:r w:rsidR="008D1CA0">
                <w:rPr>
                  <w:rFonts w:eastAsiaTheme="minorEastAsia" w:cs="Times New Roman"/>
                  <w:iCs/>
                  <w:color w:val="0000FF"/>
                  <w:szCs w:val="20"/>
                </w:rPr>
                <w:t>Mortality</w:t>
              </w:r>
              <w:r w:rsidR="008D1CA0" w:rsidRPr="00A9250D">
                <w:rPr>
                  <w:rFonts w:eastAsiaTheme="minorEastAsia" w:cs="Times New Roman"/>
                  <w:iCs/>
                  <w:color w:val="0000FF"/>
                  <w:szCs w:val="20"/>
                </w:rPr>
                <w:t xml:space="preserve"> </w:t>
              </w:r>
              <w:r w:rsidR="008D1CA0">
                <w:rPr>
                  <w:rFonts w:eastAsiaTheme="minorEastAsia" w:cs="Times New Roman"/>
                  <w:iCs/>
                  <w:color w:val="0000FF"/>
                  <w:szCs w:val="20"/>
                </w:rPr>
                <w:t>R</w:t>
              </w:r>
              <w:r w:rsidR="008D1CA0" w:rsidRPr="00A9250D">
                <w:rPr>
                  <w:rFonts w:eastAsiaTheme="minorEastAsia" w:cs="Times New Roman"/>
                  <w:iCs/>
                  <w:color w:val="0000FF"/>
                  <w:szCs w:val="20"/>
                </w:rPr>
                <w:t>ate (RS</w:t>
              </w:r>
              <w:r w:rsidR="008D1CA0">
                <w:rPr>
                  <w:rFonts w:eastAsiaTheme="minorEastAsia" w:cs="Times New Roman"/>
                  <w:iCs/>
                  <w:color w:val="0000FF"/>
                  <w:szCs w:val="20"/>
                </w:rPr>
                <w:t>M</w:t>
              </w:r>
              <w:r w:rsidR="008D1CA0" w:rsidRPr="00A9250D">
                <w:rPr>
                  <w:rFonts w:eastAsiaTheme="minorEastAsia" w:cs="Times New Roman"/>
                  <w:iCs/>
                  <w:color w:val="0000FF"/>
                  <w:szCs w:val="20"/>
                </w:rPr>
                <w:t xml:space="preserve">R) </w:t>
              </w:r>
              <w:r w:rsidR="008D1CA0">
                <w:rPr>
                  <w:rFonts w:eastAsiaTheme="minorEastAsia" w:cs="Times New Roman"/>
                  <w:iCs/>
                  <w:color w:val="0000FF"/>
                  <w:szCs w:val="20"/>
                </w:rPr>
                <w:t>F</w:t>
              </w:r>
              <w:r w:rsidR="008D1CA0" w:rsidRPr="00A9250D">
                <w:rPr>
                  <w:rFonts w:eastAsiaTheme="minorEastAsia" w:cs="Times New Roman"/>
                  <w:iCs/>
                  <w:color w:val="0000FF"/>
                  <w:szCs w:val="20"/>
                </w:rPr>
                <w:t xml:space="preserve">ollowing </w:t>
              </w:r>
              <w:r w:rsidR="008D1CA0">
                <w:rPr>
                  <w:rFonts w:eastAsiaTheme="minorEastAsia" w:cs="Times New Roman"/>
                  <w:iCs/>
                  <w:color w:val="0000FF"/>
                  <w:szCs w:val="20"/>
                </w:rPr>
                <w:t>C</w:t>
              </w:r>
              <w:r w:rsidR="008D1CA0" w:rsidRPr="00A9250D">
                <w:rPr>
                  <w:rFonts w:eastAsiaTheme="minorEastAsia" w:cs="Times New Roman"/>
                  <w:iCs/>
                  <w:color w:val="0000FF"/>
                  <w:szCs w:val="20"/>
                </w:rPr>
                <w:t xml:space="preserve">oronary </w:t>
              </w:r>
              <w:r w:rsidR="008D1CA0">
                <w:rPr>
                  <w:rFonts w:eastAsiaTheme="minorEastAsia" w:cs="Times New Roman"/>
                  <w:iCs/>
                  <w:color w:val="0000FF"/>
                  <w:szCs w:val="20"/>
                </w:rPr>
                <w:t>A</w:t>
              </w:r>
              <w:r w:rsidR="008D1CA0" w:rsidRPr="00A9250D">
                <w:rPr>
                  <w:rFonts w:eastAsiaTheme="minorEastAsia" w:cs="Times New Roman"/>
                  <w:iCs/>
                  <w:color w:val="0000FF"/>
                  <w:szCs w:val="20"/>
                </w:rPr>
                <w:t xml:space="preserve">rtery </w:t>
              </w:r>
              <w:r w:rsidR="008D1CA0">
                <w:rPr>
                  <w:rFonts w:eastAsiaTheme="minorEastAsia" w:cs="Times New Roman"/>
                  <w:iCs/>
                  <w:color w:val="0000FF"/>
                  <w:szCs w:val="20"/>
                </w:rPr>
                <w:t>B</w:t>
              </w:r>
              <w:r w:rsidR="008D1CA0" w:rsidRPr="00A9250D">
                <w:rPr>
                  <w:rFonts w:eastAsiaTheme="minorEastAsia" w:cs="Times New Roman"/>
                  <w:iCs/>
                  <w:color w:val="0000FF"/>
                  <w:szCs w:val="20"/>
                </w:rPr>
                <w:t xml:space="preserve">ypass </w:t>
              </w:r>
              <w:r w:rsidR="008D1CA0">
                <w:rPr>
                  <w:rFonts w:eastAsiaTheme="minorEastAsia" w:cs="Times New Roman"/>
                  <w:iCs/>
                  <w:color w:val="0000FF"/>
                  <w:szCs w:val="20"/>
                </w:rPr>
                <w:t>G</w:t>
              </w:r>
              <w:r w:rsidR="008D1CA0" w:rsidRPr="00A9250D">
                <w:rPr>
                  <w:rFonts w:eastAsiaTheme="minorEastAsia" w:cs="Times New Roman"/>
                  <w:iCs/>
                  <w:color w:val="0000FF"/>
                  <w:szCs w:val="20"/>
                </w:rPr>
                <w:t xml:space="preserve">raft (CABG) </w:t>
              </w:r>
              <w:r w:rsidR="008D1CA0">
                <w:rPr>
                  <w:rFonts w:eastAsiaTheme="minorEastAsia" w:cs="Times New Roman"/>
                  <w:iCs/>
                  <w:color w:val="0000FF"/>
                  <w:szCs w:val="20"/>
                </w:rPr>
                <w:t>S</w:t>
              </w:r>
              <w:r w:rsidR="008D1CA0" w:rsidRPr="00A9250D">
                <w:rPr>
                  <w:rFonts w:eastAsiaTheme="minorEastAsia" w:cs="Times New Roman"/>
                  <w:iCs/>
                  <w:color w:val="0000FF"/>
                  <w:szCs w:val="20"/>
                </w:rPr>
                <w:t>urgery</w:t>
              </w:r>
              <w:r w:rsidR="008D1CA0" w:rsidRPr="00446911">
                <w:rPr>
                  <w:rFonts w:eastAsiaTheme="minorEastAsia" w:cs="Times New Roman"/>
                  <w:iCs/>
                  <w:szCs w:val="20"/>
                </w:rPr>
                <w:t xml:space="preserve"> </w:t>
              </w:r>
              <w:r w:rsidR="008D1CA0">
                <w:rPr>
                  <w:rFonts w:eastAsiaTheme="minorEastAsia" w:cs="Times New Roman"/>
                  <w:iCs/>
                  <w:szCs w:val="20"/>
                </w:rPr>
                <w:t xml:space="preserve"> </w:t>
              </w:r>
            </w:sdtContent>
          </w:sdt>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77777777"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3B1CC5">
            <w:rPr>
              <w:rStyle w:val="PlaceholderText"/>
              <w:rFonts w:cstheme="minorHAnsi"/>
              <w:color w:val="A6A6A6" w:themeColor="background1" w:themeShade="A6"/>
            </w:rPr>
            <w:t>Click here to enter a date</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3BD9A87D"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Grading of Recommendations, Assessment, Development</w:t>
            </w:r>
            <w:r w:rsidR="00343B64">
              <w:rPr>
                <w:rFonts w:eastAsia="Calibri" w:cs="Calibri"/>
                <w:sz w:val="20"/>
                <w:szCs w:val="20"/>
              </w:rPr>
              <w:t>,</w:t>
            </w:r>
            <w:r w:rsidRPr="003B1CC5">
              <w:rPr>
                <w:rFonts w:eastAsia="Calibri" w:cs="Calibri"/>
                <w:sz w:val="20"/>
                <w:szCs w:val="20"/>
              </w:rPr>
              <w:t xml:space="preserve">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43BA94A8" w:rsidR="00496AF8" w:rsidRPr="003B1CC5" w:rsidRDefault="00717125"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573A3A">
            <w:rPr>
              <w:rFonts w:ascii="MS Gothic" w:eastAsia="MS Gothic" w:hAnsi="MS Gothic" w:hint="eastAsia"/>
              <w:bCs/>
              <w:color w:val="0000FF"/>
              <w:u w:val="single"/>
            </w:rPr>
            <w:t>☒</w:t>
          </w:r>
        </w:sdtContent>
      </w:sdt>
      <w:r w:rsidR="0015535B" w:rsidRPr="003B1CC5">
        <w:rPr>
          <w:bCs/>
          <w:color w:val="0000FF"/>
        </w:rPr>
        <w:t xml:space="preserve"> </w:t>
      </w:r>
      <w:r w:rsidR="00CC0F87" w:rsidRPr="004A2FD9">
        <w:rPr>
          <w:bCs/>
          <w:color w:val="0000FF"/>
          <w:highlight w:val="green"/>
        </w:rPr>
        <w:t>O</w:t>
      </w:r>
      <w:r w:rsidR="00BE6373" w:rsidRPr="004A2FD9">
        <w:rPr>
          <w:bCs/>
          <w:highlight w:val="green"/>
        </w:rPr>
        <w:t>utc</w:t>
      </w:r>
      <w:r w:rsidR="00496AF8" w:rsidRPr="004A2FD9">
        <w:rPr>
          <w:bCs/>
          <w:highlight w:val="green"/>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A339EE">
            <w:rPr>
              <w:rStyle w:val="Style2"/>
              <w:rFonts w:cstheme="minorHAnsi"/>
            </w:rPr>
            <w:t>30-day mortality</w:t>
          </w:r>
        </w:sdtContent>
      </w:sdt>
    </w:p>
    <w:p w14:paraId="55B8DA52" w14:textId="77777777" w:rsidR="00236F87" w:rsidRPr="003B1CC5" w:rsidRDefault="00717125"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717125"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717125"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717125"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717125"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515FDB">
        <w:rPr>
          <w:b/>
          <w:bCs/>
          <w:highlight w:val="cyan"/>
        </w:rPr>
        <w:t>LOGIC MODEL</w:t>
      </w:r>
      <w:r w:rsidRPr="00515FDB">
        <w:rPr>
          <w:bCs/>
          <w:highlight w:val="cyan"/>
        </w:rPr>
        <w:t xml:space="preserve"> </w:t>
      </w:r>
      <w:r w:rsidRPr="00515FDB">
        <w:rPr>
          <w:iCs/>
          <w:highlight w:val="cyan"/>
        </w:rPr>
        <w:t>Diagram or briefly describe</w:t>
      </w:r>
      <w:r w:rsidR="002B06BD" w:rsidRPr="00515FDB">
        <w:rPr>
          <w:iCs/>
          <w:highlight w:val="cyan"/>
        </w:rPr>
        <w:t xml:space="preserve"> the </w:t>
      </w:r>
      <w:r w:rsidRPr="00515FDB">
        <w:rPr>
          <w:iCs/>
          <w:highlight w:val="cyan"/>
        </w:rPr>
        <w:t>steps</w:t>
      </w:r>
      <w:r w:rsidR="00236F87" w:rsidRPr="00515FDB">
        <w:rPr>
          <w:iCs/>
          <w:highlight w:val="cyan"/>
        </w:rPr>
        <w:t xml:space="preserve"> </w:t>
      </w:r>
      <w:r w:rsidR="002B06BD" w:rsidRPr="00515FDB">
        <w:rPr>
          <w:iCs/>
          <w:highlight w:val="cyan"/>
        </w:rPr>
        <w:t xml:space="preserve">between </w:t>
      </w:r>
      <w:r w:rsidR="00CB06C9" w:rsidRPr="00515FDB">
        <w:rPr>
          <w:iCs/>
          <w:highlight w:val="cyan"/>
        </w:rPr>
        <w:t>the</w:t>
      </w:r>
      <w:r w:rsidR="002B06BD" w:rsidRPr="00515FDB">
        <w:rPr>
          <w:iCs/>
          <w:highlight w:val="cyan"/>
        </w:rPr>
        <w:t xml:space="preserve"> healthcare structure</w:t>
      </w:r>
      <w:r w:rsidR="00CB06C9" w:rsidRPr="00515FDB">
        <w:rPr>
          <w:iCs/>
          <w:highlight w:val="cyan"/>
        </w:rPr>
        <w:t>s</w:t>
      </w:r>
      <w:r w:rsidR="00F90F82" w:rsidRPr="00515FDB">
        <w:rPr>
          <w:iCs/>
          <w:highlight w:val="cyan"/>
        </w:rPr>
        <w:t xml:space="preserve"> and</w:t>
      </w:r>
      <w:r w:rsidR="002B06BD" w:rsidRPr="00515FDB">
        <w:rPr>
          <w:iCs/>
          <w:highlight w:val="cyan"/>
        </w:rPr>
        <w:t xml:space="preserve"> process</w:t>
      </w:r>
      <w:r w:rsidR="00CB06C9" w:rsidRPr="00515FDB">
        <w:rPr>
          <w:iCs/>
          <w:highlight w:val="cyan"/>
        </w:rPr>
        <w:t>es</w:t>
      </w:r>
      <w:r w:rsidRPr="00515FDB">
        <w:rPr>
          <w:iCs/>
          <w:highlight w:val="cyan"/>
        </w:rPr>
        <w:t xml:space="preserve"> (e.g.,</w:t>
      </w:r>
      <w:r w:rsidR="002B06BD" w:rsidRPr="00515FDB">
        <w:rPr>
          <w:iCs/>
          <w:highlight w:val="cyan"/>
        </w:rPr>
        <w:t xml:space="preserve"> intervention</w:t>
      </w:r>
      <w:r w:rsidR="00CB06C9" w:rsidRPr="00515FDB">
        <w:rPr>
          <w:iCs/>
          <w:highlight w:val="cyan"/>
        </w:rPr>
        <w:t>s</w:t>
      </w:r>
      <w:r w:rsidR="002B06BD" w:rsidRPr="00515FDB">
        <w:rPr>
          <w:iCs/>
          <w:highlight w:val="cyan"/>
        </w:rPr>
        <w:t>, or service</w:t>
      </w:r>
      <w:r w:rsidR="00CB06C9" w:rsidRPr="00515FDB">
        <w:rPr>
          <w:iCs/>
          <w:highlight w:val="cyan"/>
        </w:rPr>
        <w:t>s</w:t>
      </w:r>
      <w:r w:rsidRPr="00515FDB">
        <w:rPr>
          <w:iCs/>
          <w:highlight w:val="cyan"/>
        </w:rPr>
        <w:t>)</w:t>
      </w:r>
      <w:r w:rsidR="00CB06C9" w:rsidRPr="00515FDB">
        <w:rPr>
          <w:iCs/>
          <w:highlight w:val="cyan"/>
        </w:rPr>
        <w:t xml:space="preserve"> </w:t>
      </w:r>
      <w:r w:rsidRPr="00515FDB">
        <w:rPr>
          <w:iCs/>
          <w:highlight w:val="cyan"/>
        </w:rPr>
        <w:t>and the patient’s health outcome</w:t>
      </w:r>
      <w:r w:rsidR="00F90F82" w:rsidRPr="00515FDB">
        <w:rPr>
          <w:iCs/>
          <w:highlight w:val="cyan"/>
        </w:rPr>
        <w:t>(s)</w:t>
      </w:r>
      <w:r w:rsidRPr="00515FDB">
        <w:rPr>
          <w:iCs/>
          <w:highlight w:val="cyan"/>
        </w:rPr>
        <w:t xml:space="preserve">. The relationships in the diagram should be easily understood by general, non-technical audiences. Indicate the </w:t>
      </w:r>
      <w:r w:rsidR="00F90F82" w:rsidRPr="00515FDB">
        <w:rPr>
          <w:iCs/>
          <w:highlight w:val="cyan"/>
        </w:rPr>
        <w:t xml:space="preserve">structure, </w:t>
      </w:r>
      <w:r w:rsidRPr="00515FDB">
        <w:rPr>
          <w:iCs/>
          <w:highlight w:val="cyan"/>
        </w:rPr>
        <w:t>process or outcome being measured.</w:t>
      </w:r>
    </w:p>
    <w:p w14:paraId="0D08991E" w14:textId="77777777" w:rsidR="008A58B9" w:rsidRDefault="008D1CA0" w:rsidP="00262336">
      <w:pPr>
        <w:pBdr>
          <w:top w:val="single" w:sz="4" w:space="1" w:color="auto"/>
          <w:left w:val="single" w:sz="4" w:space="4" w:color="auto"/>
          <w:bottom w:val="single" w:sz="4" w:space="1" w:color="auto"/>
          <w:right w:val="single" w:sz="4" w:space="4" w:color="auto"/>
        </w:pBdr>
        <w:ind w:left="0" w:firstLine="0"/>
        <w:rPr>
          <w:color w:val="000000"/>
        </w:rPr>
      </w:pPr>
      <w:r>
        <w:rPr>
          <w:color w:val="0000FF"/>
        </w:rPr>
        <w:tab/>
      </w:r>
      <w:r w:rsidR="00262336">
        <w:object w:dxaOrig="10935" w:dyaOrig="5085" w14:anchorId="2BA82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3in" o:ole="">
            <v:imagedata r:id="rId16" o:title=""/>
          </v:shape>
          <o:OLEObject Type="Embed" ProgID="Visio.Drawing.11" ShapeID="_x0000_i1025" DrawAspect="Content" ObjectID="_1585129379" r:id="rId17"/>
        </w:object>
      </w:r>
      <w:r w:rsidR="00262336" w:rsidRPr="00262336">
        <w:rPr>
          <w:color w:val="000000"/>
        </w:rPr>
        <w:t xml:space="preserve"> </w:t>
      </w:r>
    </w:p>
    <w:p w14:paraId="12E37AE3" w14:textId="77777777" w:rsidR="008A58B9" w:rsidRDefault="008A58B9" w:rsidP="00262336">
      <w:pPr>
        <w:pBdr>
          <w:top w:val="single" w:sz="4" w:space="1" w:color="auto"/>
          <w:left w:val="single" w:sz="4" w:space="4" w:color="auto"/>
          <w:bottom w:val="single" w:sz="4" w:space="1" w:color="auto"/>
          <w:right w:val="single" w:sz="4" w:space="4" w:color="auto"/>
        </w:pBdr>
        <w:ind w:left="0" w:firstLine="0"/>
        <w:rPr>
          <w:color w:val="000000"/>
        </w:rPr>
      </w:pPr>
    </w:p>
    <w:p w14:paraId="26C1C21A" w14:textId="7130310D" w:rsidR="008A58B9" w:rsidRDefault="008A58B9" w:rsidP="00262336">
      <w:pPr>
        <w:pBdr>
          <w:top w:val="single" w:sz="4" w:space="1" w:color="auto"/>
          <w:left w:val="single" w:sz="4" w:space="4" w:color="auto"/>
          <w:bottom w:val="single" w:sz="4" w:space="1" w:color="auto"/>
          <w:right w:val="single" w:sz="4" w:space="4" w:color="auto"/>
        </w:pBdr>
        <w:ind w:left="0" w:firstLine="0"/>
        <w:rPr>
          <w:color w:val="000000"/>
        </w:rPr>
      </w:pPr>
      <w:r>
        <w:rPr>
          <w:color w:val="000000"/>
        </w:rPr>
        <w:t>This is an outcome measure; t</w:t>
      </w:r>
      <w:r w:rsidRPr="008A58B9">
        <w:rPr>
          <w:color w:val="000000"/>
        </w:rPr>
        <w:t xml:space="preserve">he measure focus is all-cause mortality following isolated CABG procedures. </w:t>
      </w:r>
    </w:p>
    <w:p w14:paraId="10384C2F" w14:textId="7839423C" w:rsidR="008A58B9" w:rsidRDefault="008A58B9" w:rsidP="00262336">
      <w:pPr>
        <w:pBdr>
          <w:top w:val="single" w:sz="4" w:space="1" w:color="auto"/>
          <w:left w:val="single" w:sz="4" w:space="4" w:color="auto"/>
          <w:bottom w:val="single" w:sz="4" w:space="1" w:color="auto"/>
          <w:right w:val="single" w:sz="4" w:space="4" w:color="auto"/>
        </w:pBdr>
        <w:ind w:left="0" w:firstLine="0"/>
        <w:rPr>
          <w:color w:val="000000"/>
        </w:rPr>
      </w:pPr>
    </w:p>
    <w:p w14:paraId="46E5109E" w14:textId="0532671A" w:rsidR="00262336" w:rsidRDefault="00262336" w:rsidP="00262336">
      <w:pPr>
        <w:pBdr>
          <w:top w:val="single" w:sz="4" w:space="1" w:color="auto"/>
          <w:left w:val="single" w:sz="4" w:space="4" w:color="auto"/>
          <w:bottom w:val="single" w:sz="4" w:space="1" w:color="auto"/>
          <w:right w:val="single" w:sz="4" w:space="4" w:color="auto"/>
        </w:pBdr>
        <w:ind w:left="0" w:firstLine="0"/>
      </w:pPr>
      <w:r w:rsidRPr="005D7067">
        <w:rPr>
          <w:color w:val="000000"/>
        </w:rPr>
        <w:t xml:space="preserve">The goal of this measure is to improve patient outcomes by providing patients, physicians, and hospitals with information about hospital-level, risk-standardized mortality rates following </w:t>
      </w:r>
      <w:r>
        <w:rPr>
          <w:color w:val="000000"/>
        </w:rPr>
        <w:t xml:space="preserve">isolated CABG procedures. </w:t>
      </w:r>
      <w:r w:rsidRPr="005D7067">
        <w:rPr>
          <w:color w:val="000000"/>
        </w:rPr>
        <w:t>Measurement of patient outcomes</w:t>
      </w:r>
      <w:r w:rsidR="008A58B9">
        <w:rPr>
          <w:color w:val="000000"/>
        </w:rPr>
        <w:t>, including mortality,</w:t>
      </w:r>
      <w:r w:rsidRPr="005D7067">
        <w:rPr>
          <w:color w:val="000000"/>
        </w:rPr>
        <w:t xml:space="preserve"> allows for a broad view of quality of care that encompasses more than what can be captured by individual process-of-care measures. </w:t>
      </w:r>
      <w:r w:rsidRPr="005D7067">
        <w:rPr>
          <w:color w:val="000000"/>
        </w:rPr>
        <w:lastRenderedPageBreak/>
        <w:t>Complex and critical aspects of care, such as communication between providers, prevention of, and response to</w:t>
      </w:r>
      <w:r w:rsidR="001F5DD6">
        <w:rPr>
          <w:color w:val="000000"/>
        </w:rPr>
        <w:t xml:space="preserve"> </w:t>
      </w:r>
      <w:r w:rsidRPr="005D7067">
        <w:rPr>
          <w:color w:val="000000"/>
        </w:rPr>
        <w:t xml:space="preserve">complications, patient safety and coordinated transitions to the outpatient environment, all contribute to patient outcomes but are difficult to measure by individual process measures. The goal of outcomes measurement is to risk-adjust for patients’ conditions at the time of hospital admission and then evaluate patient outcomes. This mortality measure was developed to identify institutions, whose performance is better or worse than </w:t>
      </w:r>
      <w:r w:rsidR="00015866">
        <w:rPr>
          <w:color w:val="000000"/>
        </w:rPr>
        <w:t xml:space="preserve">what </w:t>
      </w:r>
      <w:r w:rsidRPr="005D7067">
        <w:rPr>
          <w:color w:val="000000"/>
        </w:rPr>
        <w:t>would be expected based on their patient case-mix, and therefore promote hospital quality improvement and better inform consumers about quality</w:t>
      </w:r>
      <w:r w:rsidR="001F5DD6" w:rsidRPr="001F5DD6">
        <w:rPr>
          <w:color w:val="000000"/>
        </w:rPr>
        <w:t xml:space="preserve"> </w:t>
      </w:r>
      <w:r w:rsidR="001F5DD6">
        <w:rPr>
          <w:color w:val="000000"/>
        </w:rPr>
        <w:t xml:space="preserve">of </w:t>
      </w:r>
      <w:r w:rsidR="001F5DD6" w:rsidRPr="005D7067">
        <w:rPr>
          <w:color w:val="000000"/>
        </w:rPr>
        <w:t>care</w:t>
      </w:r>
      <w:r w:rsidRPr="005D7067">
        <w:t>.</w:t>
      </w:r>
    </w:p>
    <w:p w14:paraId="55B8DA5B" w14:textId="6DF410FC" w:rsidR="002B06BD" w:rsidRDefault="002B06BD" w:rsidP="00A4744B">
      <w:pPr>
        <w:pBdr>
          <w:top w:val="single" w:sz="4" w:space="1" w:color="auto"/>
          <w:left w:val="single" w:sz="4" w:space="4" w:color="auto"/>
          <w:bottom w:val="single" w:sz="4" w:space="1" w:color="auto"/>
          <w:right w:val="single" w:sz="4" w:space="4" w:color="auto"/>
        </w:pBdr>
        <w:tabs>
          <w:tab w:val="left" w:pos="1110"/>
        </w:tabs>
        <w:ind w:left="0" w:firstLine="0"/>
        <w:rPr>
          <w:color w:val="0000FF"/>
        </w:rPr>
      </w:pP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sidRPr="00515FDB">
        <w:rPr>
          <w:b/>
          <w:bCs/>
          <w:highlight w:val="cyan"/>
        </w:rPr>
        <w:t xml:space="preserve">Value and Meaningfulness:  </w:t>
      </w:r>
      <w:r w:rsidRPr="00515FDB">
        <w:rPr>
          <w:bCs/>
          <w:highlight w:val="cyan"/>
        </w:rPr>
        <w:t xml:space="preserve"> </w:t>
      </w:r>
      <w:r w:rsidRPr="00515FDB">
        <w:rPr>
          <w:b/>
          <w:iCs/>
          <w:highlight w:val="cyan"/>
        </w:rPr>
        <w:t xml:space="preserve">IF </w:t>
      </w:r>
      <w:r w:rsidRPr="00515FDB">
        <w:rPr>
          <w:iCs/>
          <w:highlight w:val="cyan"/>
        </w:rPr>
        <w:t xml:space="preserve">this measure is derived from patient report, provide evidence that the target population values the measured </w:t>
      </w:r>
      <w:r w:rsidRPr="00515FDB">
        <w:rPr>
          <w:b/>
          <w:i/>
          <w:iCs/>
          <w:highlight w:val="cyan"/>
        </w:rPr>
        <w:t>outcome, process, or structure</w:t>
      </w:r>
      <w:r w:rsidRPr="00515FDB">
        <w:rPr>
          <w:iCs/>
          <w:highlight w:val="cyan"/>
        </w:rPr>
        <w:t xml:space="preserve"> and finds it meaningful. (Describe how and from whom their input was obtained.)</w:t>
      </w:r>
    </w:p>
    <w:p w14:paraId="5BCFDB54" w14:textId="60EBE49B" w:rsidR="004922E4" w:rsidRPr="00BE65D7" w:rsidRDefault="0013536A" w:rsidP="00515FDB">
      <w:pPr>
        <w:pBdr>
          <w:top w:val="single" w:sz="4" w:space="1" w:color="auto"/>
          <w:left w:val="single" w:sz="4" w:space="4" w:color="auto"/>
          <w:bottom w:val="single" w:sz="4" w:space="1" w:color="auto"/>
          <w:right w:val="single" w:sz="4" w:space="4" w:color="auto"/>
        </w:pBdr>
        <w:ind w:left="432" w:hanging="432"/>
      </w:pPr>
      <w:r w:rsidRPr="00BE65D7">
        <w:t xml:space="preserve">N/A. </w:t>
      </w:r>
      <w:r w:rsidR="00262336" w:rsidRPr="00BE65D7">
        <w:t xml:space="preserve">This measure is not derived from patient report. </w:t>
      </w:r>
    </w:p>
    <w:p w14:paraId="55B8DA5F" w14:textId="42EBE83A"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515FDB">
        <w:rPr>
          <w:b/>
          <w:color w:val="0000FF"/>
          <w:highlight w:val="cyan"/>
        </w:rPr>
        <w:t>1</w:t>
      </w:r>
      <w:r w:rsidR="00773485" w:rsidRPr="00515FDB">
        <w:rPr>
          <w:b/>
          <w:color w:val="0000FF"/>
          <w:highlight w:val="cyan"/>
        </w:rPr>
        <w:t>a</w:t>
      </w:r>
      <w:r w:rsidRPr="00515FDB">
        <w:rPr>
          <w:b/>
          <w:color w:val="0000FF"/>
          <w:highlight w:val="cyan"/>
        </w:rPr>
        <w:t>.2</w:t>
      </w:r>
      <w:r w:rsidR="00E41417" w:rsidRPr="00515FDB">
        <w:rPr>
          <w:iCs/>
          <w:highlight w:val="cyan"/>
        </w:rPr>
        <w:t xml:space="preserve"> </w:t>
      </w:r>
      <w:r w:rsidR="00C41794" w:rsidRPr="00515FDB">
        <w:rPr>
          <w:b/>
          <w:highlight w:val="cyan"/>
        </w:rPr>
        <w:t>FOR OUTCOME MEASURES including PATIENT REPORTED OUTCOMES</w:t>
      </w:r>
      <w:r w:rsidR="003D6721" w:rsidRPr="00515FDB">
        <w:rPr>
          <w:b/>
          <w:highlight w:val="cyan"/>
        </w:rPr>
        <w:t xml:space="preserve"> </w:t>
      </w:r>
      <w:r w:rsidR="00C41794" w:rsidRPr="00515FDB">
        <w:rPr>
          <w:b/>
          <w:highlight w:val="cyan"/>
        </w:rPr>
        <w:t>-</w:t>
      </w:r>
      <w:r w:rsidR="00C41794" w:rsidRPr="00515FDB">
        <w:rPr>
          <w:b/>
          <w:iCs/>
          <w:highlight w:val="cyan"/>
        </w:rPr>
        <w:t xml:space="preserve"> </w:t>
      </w:r>
      <w:r w:rsidR="003D6721" w:rsidRPr="00515FDB">
        <w:rPr>
          <w:b/>
          <w:iCs/>
          <w:highlight w:val="cyan"/>
        </w:rPr>
        <w:t xml:space="preserve">Provide empirical data demonstrating </w:t>
      </w:r>
      <w:r w:rsidR="008B51D9" w:rsidRPr="00515FDB">
        <w:rPr>
          <w:b/>
          <w:iCs/>
          <w:highlight w:val="cyan"/>
        </w:rPr>
        <w:t xml:space="preserve">the </w:t>
      </w:r>
      <w:r w:rsidR="005D25E9" w:rsidRPr="00515FDB">
        <w:rPr>
          <w:b/>
          <w:iCs/>
          <w:highlight w:val="cyan"/>
        </w:rPr>
        <w:t xml:space="preserve">relationship </w:t>
      </w:r>
      <w:r w:rsidR="00AC1E53" w:rsidRPr="00515FDB">
        <w:rPr>
          <w:b/>
          <w:iCs/>
          <w:highlight w:val="cyan"/>
        </w:rPr>
        <w:t>between</w:t>
      </w:r>
      <w:r w:rsidR="005D25E9" w:rsidRPr="00515FDB">
        <w:rPr>
          <w:b/>
          <w:iCs/>
          <w:highlight w:val="cyan"/>
        </w:rPr>
        <w:t xml:space="preserve"> the </w:t>
      </w:r>
      <w:r w:rsidR="008B51D9" w:rsidRPr="00515FDB">
        <w:rPr>
          <w:b/>
          <w:iCs/>
          <w:highlight w:val="cyan"/>
        </w:rPr>
        <w:t>outcome</w:t>
      </w:r>
      <w:r w:rsidR="005857F8" w:rsidRPr="00515FDB">
        <w:rPr>
          <w:b/>
          <w:iCs/>
          <w:highlight w:val="cyan"/>
        </w:rPr>
        <w:t xml:space="preserve"> </w:t>
      </w:r>
      <w:r w:rsidR="00AA5587" w:rsidRPr="00515FDB">
        <w:rPr>
          <w:b/>
          <w:iCs/>
          <w:highlight w:val="cyan"/>
        </w:rPr>
        <w:t>(</w:t>
      </w:r>
      <w:r w:rsidR="005857F8" w:rsidRPr="00515FDB">
        <w:rPr>
          <w:b/>
          <w:iCs/>
          <w:highlight w:val="cyan"/>
        </w:rPr>
        <w:t>or PRO</w:t>
      </w:r>
      <w:r w:rsidR="00AA5587" w:rsidRPr="00515FDB">
        <w:rPr>
          <w:b/>
          <w:iCs/>
          <w:highlight w:val="cyan"/>
        </w:rPr>
        <w:t>)</w:t>
      </w:r>
      <w:r w:rsidR="008B51D9" w:rsidRPr="00515FDB">
        <w:rPr>
          <w:b/>
          <w:iCs/>
          <w:highlight w:val="cyan"/>
        </w:rPr>
        <w:t xml:space="preserve"> </w:t>
      </w:r>
      <w:r w:rsidR="005D25E9" w:rsidRPr="00515FDB">
        <w:rPr>
          <w:b/>
          <w:iCs/>
          <w:highlight w:val="cyan"/>
        </w:rPr>
        <w:t>to</w:t>
      </w:r>
      <w:r w:rsidR="00236F87" w:rsidRPr="00515FDB">
        <w:rPr>
          <w:b/>
          <w:iCs/>
          <w:highlight w:val="cyan"/>
        </w:rPr>
        <w:t xml:space="preserve"> </w:t>
      </w:r>
      <w:r w:rsidR="00496AF8" w:rsidRPr="00515FDB">
        <w:rPr>
          <w:b/>
          <w:iCs/>
          <w:highlight w:val="cyan"/>
        </w:rPr>
        <w:t>at least one</w:t>
      </w:r>
      <w:r w:rsidR="009B5BEA" w:rsidRPr="00515FDB">
        <w:rPr>
          <w:b/>
          <w:iCs/>
          <w:highlight w:val="cyan"/>
        </w:rPr>
        <w:t xml:space="preserve"> </w:t>
      </w:r>
      <w:r w:rsidR="003D6721" w:rsidRPr="00515FDB">
        <w:rPr>
          <w:b/>
          <w:iCs/>
          <w:highlight w:val="cyan"/>
        </w:rPr>
        <w:t xml:space="preserve">healthcare structure, process, </w:t>
      </w:r>
      <w:r w:rsidR="00496AF8" w:rsidRPr="00515FDB">
        <w:rPr>
          <w:b/>
          <w:iCs/>
          <w:highlight w:val="cyan"/>
        </w:rPr>
        <w:t>intervention, or service</w:t>
      </w:r>
      <w:r w:rsidR="00676BD4" w:rsidRPr="00515FDB">
        <w:rPr>
          <w:b/>
          <w:iCs/>
          <w:highlight w:val="cyan"/>
        </w:rPr>
        <w:t>.</w:t>
      </w:r>
      <w:r w:rsidR="00AC1E53">
        <w:rPr>
          <w:b/>
          <w:iCs/>
        </w:rPr>
        <w:t xml:space="preserve"> </w:t>
      </w:r>
    </w:p>
    <w:p w14:paraId="12BC1822" w14:textId="579DEA48" w:rsidR="003A7CBB" w:rsidRDefault="003A7CBB" w:rsidP="003A7CBB">
      <w:pPr>
        <w:pBdr>
          <w:top w:val="single" w:sz="4" w:space="1" w:color="auto"/>
          <w:left w:val="single" w:sz="4" w:space="4" w:color="auto"/>
          <w:bottom w:val="single" w:sz="4" w:space="1" w:color="auto"/>
          <w:right w:val="single" w:sz="4" w:space="4" w:color="auto"/>
        </w:pBdr>
        <w:ind w:left="0" w:firstLine="0"/>
        <w:rPr>
          <w:iCs/>
        </w:rPr>
      </w:pPr>
      <w:r w:rsidRPr="003A7CBB">
        <w:rPr>
          <w:iCs/>
        </w:rPr>
        <w:t>Mortality is the primary negative outcome associated with a surgical procedure.</w:t>
      </w:r>
      <w:r w:rsidR="00BE65D7">
        <w:rPr>
          <w:iCs/>
        </w:rPr>
        <w:t xml:space="preserve"> </w:t>
      </w:r>
      <w:r w:rsidRPr="003A7CBB">
        <w:rPr>
          <w:iCs/>
        </w:rPr>
        <w:t>Many aspects of peri-operative care, intra- and peri-operative practices and several aspects of post-operative care, including prevention of and response to complications and coordinated transitions to the outpatient environment, have been shown to impact CABG mortality. A number of recent studies have demonstrated that improvements in care can reduce 30-day mortality rates.</w:t>
      </w:r>
      <w:r w:rsidR="0099364C">
        <w:rPr>
          <w:iCs/>
        </w:rPr>
        <w:t xml:space="preserve"> </w:t>
      </w:r>
    </w:p>
    <w:p w14:paraId="202878A9" w14:textId="77777777" w:rsidR="008F3540" w:rsidRPr="003A7CBB" w:rsidRDefault="008F3540" w:rsidP="003A7CBB">
      <w:pPr>
        <w:pBdr>
          <w:top w:val="single" w:sz="4" w:space="1" w:color="auto"/>
          <w:left w:val="single" w:sz="4" w:space="4" w:color="auto"/>
          <w:bottom w:val="single" w:sz="4" w:space="1" w:color="auto"/>
          <w:right w:val="single" w:sz="4" w:space="4" w:color="auto"/>
        </w:pBdr>
        <w:ind w:left="0" w:firstLine="0"/>
        <w:rPr>
          <w:iCs/>
        </w:rPr>
      </w:pPr>
    </w:p>
    <w:p w14:paraId="54F67A59" w14:textId="77777777" w:rsidR="003A7CBB" w:rsidRPr="003A7CBB" w:rsidRDefault="003A7CBB" w:rsidP="003A7CBB">
      <w:pPr>
        <w:pBdr>
          <w:top w:val="single" w:sz="4" w:space="1" w:color="auto"/>
          <w:left w:val="single" w:sz="4" w:space="4" w:color="auto"/>
          <w:bottom w:val="single" w:sz="4" w:space="1" w:color="auto"/>
          <w:right w:val="single" w:sz="4" w:space="4" w:color="auto"/>
        </w:pBdr>
        <w:ind w:left="0" w:firstLine="0"/>
        <w:rPr>
          <w:iCs/>
        </w:rPr>
      </w:pPr>
      <w:r w:rsidRPr="003A7CBB">
        <w:rPr>
          <w:iCs/>
        </w:rPr>
        <w:t>References:</w:t>
      </w:r>
    </w:p>
    <w:p w14:paraId="4019FE3E" w14:textId="5FB09690" w:rsidR="00B97177" w:rsidRDefault="00B97177" w:rsidP="001955E5">
      <w:pPr>
        <w:pBdr>
          <w:top w:val="single" w:sz="4" w:space="1" w:color="auto"/>
          <w:left w:val="single" w:sz="4" w:space="4" w:color="auto"/>
          <w:bottom w:val="single" w:sz="4" w:space="1" w:color="auto"/>
          <w:right w:val="single" w:sz="4" w:space="4" w:color="auto"/>
        </w:pBdr>
        <w:rPr>
          <w:iCs/>
        </w:rPr>
      </w:pPr>
      <w:r w:rsidRPr="00B97177">
        <w:rPr>
          <w:iCs/>
        </w:rPr>
        <w:t>Emerson DA, Hynes CF, Greenberg MD, Trachiotis GD. Coronary Artery Bypass Grafting During Acute Coronary Syndrome: Outcomes and Comparison of Off-Pump to Conventional Coronary Artery Bypass Grafting at a Veteran Affairs Hospital. Innovations (Phila). 2015;10(3):157-162.</w:t>
      </w:r>
    </w:p>
    <w:p w14:paraId="6196534F" w14:textId="237F8202" w:rsidR="001955E5" w:rsidRDefault="001955E5" w:rsidP="001955E5">
      <w:pPr>
        <w:pBdr>
          <w:top w:val="single" w:sz="4" w:space="1" w:color="auto"/>
          <w:left w:val="single" w:sz="4" w:space="4" w:color="auto"/>
          <w:bottom w:val="single" w:sz="4" w:space="1" w:color="auto"/>
          <w:right w:val="single" w:sz="4" w:space="4" w:color="auto"/>
        </w:pBdr>
        <w:rPr>
          <w:iCs/>
        </w:rPr>
      </w:pPr>
      <w:r w:rsidRPr="001955E5">
        <w:rPr>
          <w:iCs/>
        </w:rPr>
        <w:t>Johnson SH, Theurer PF, Bell GF, Laresca L, Leyden T, Prager RL. A statewide quality collaborative for process improvement: internal mammary artery utilization. Ann Thorac Surg. 2010; 90: 1158– 1164.</w:t>
      </w:r>
    </w:p>
    <w:p w14:paraId="6DAB41FE" w14:textId="29C61025" w:rsidR="00B97177" w:rsidRPr="001955E5" w:rsidRDefault="00B97177" w:rsidP="001955E5">
      <w:pPr>
        <w:pBdr>
          <w:top w:val="single" w:sz="4" w:space="1" w:color="auto"/>
          <w:left w:val="single" w:sz="4" w:space="4" w:color="auto"/>
          <w:bottom w:val="single" w:sz="4" w:space="1" w:color="auto"/>
          <w:right w:val="single" w:sz="4" w:space="4" w:color="auto"/>
        </w:pBdr>
        <w:rPr>
          <w:iCs/>
        </w:rPr>
      </w:pPr>
      <w:r w:rsidRPr="00B97177">
        <w:rPr>
          <w:iCs/>
        </w:rPr>
        <w:t>Kurlansky PA, Traad EA, Dorman MJ, Galbut DL, Ebra G. Bilateral Versus Single Internal Mammary Artery Grafting in the Elderly: Long-Term Survival Benefit. The Annals of thoracic surgery. 2015;100(4):1374-1381; discussion 1381-1372.</w:t>
      </w:r>
    </w:p>
    <w:p w14:paraId="09769D7C" w14:textId="2664CD7D" w:rsidR="001955E5" w:rsidRPr="001955E5" w:rsidRDefault="001955E5" w:rsidP="001955E5">
      <w:pPr>
        <w:pBdr>
          <w:top w:val="single" w:sz="4" w:space="1" w:color="auto"/>
          <w:left w:val="single" w:sz="4" w:space="4" w:color="auto"/>
          <w:bottom w:val="single" w:sz="4" w:space="1" w:color="auto"/>
          <w:right w:val="single" w:sz="4" w:space="4" w:color="auto"/>
        </w:pBdr>
        <w:rPr>
          <w:iCs/>
        </w:rPr>
      </w:pPr>
      <w:r w:rsidRPr="001955E5">
        <w:rPr>
          <w:iCs/>
        </w:rPr>
        <w:t xml:space="preserve">New York </w:t>
      </w:r>
      <w:r w:rsidR="00E83DBC">
        <w:rPr>
          <w:iCs/>
        </w:rPr>
        <w:t>Department of Health (NYDH)</w:t>
      </w:r>
      <w:r w:rsidRPr="001955E5">
        <w:rPr>
          <w:iCs/>
        </w:rPr>
        <w:t xml:space="preserve"> </w:t>
      </w:r>
      <w:r w:rsidR="008C3E76" w:rsidRPr="008C3E76">
        <w:rPr>
          <w:iCs/>
        </w:rPr>
        <w:t>https://www.health.ny.gov/statistics/diseases/cardiovascular/heart_disease/docs/2013-2015_adult_cardiac_surgery.pdf</w:t>
      </w:r>
      <w:r w:rsidRPr="001955E5">
        <w:rPr>
          <w:iCs/>
        </w:rPr>
        <w:t xml:space="preserve">. </w:t>
      </w:r>
      <w:r w:rsidR="00E83DBC">
        <w:rPr>
          <w:iCs/>
        </w:rPr>
        <w:t>March 7,</w:t>
      </w:r>
      <w:r w:rsidRPr="001955E5">
        <w:rPr>
          <w:iCs/>
        </w:rPr>
        <w:t xml:space="preserve"> 201</w:t>
      </w:r>
      <w:r w:rsidR="00E83DBC">
        <w:rPr>
          <w:iCs/>
        </w:rPr>
        <w:t>8</w:t>
      </w:r>
      <w:r w:rsidRPr="001955E5">
        <w:rPr>
          <w:iCs/>
        </w:rPr>
        <w:t>.</w:t>
      </w:r>
    </w:p>
    <w:p w14:paraId="26844ADB" w14:textId="5D273E3E" w:rsidR="001955E5" w:rsidRPr="001955E5" w:rsidRDefault="001955E5" w:rsidP="001955E5">
      <w:pPr>
        <w:pBdr>
          <w:top w:val="single" w:sz="4" w:space="1" w:color="auto"/>
          <w:left w:val="single" w:sz="4" w:space="4" w:color="auto"/>
          <w:bottom w:val="single" w:sz="4" w:space="1" w:color="auto"/>
          <w:right w:val="single" w:sz="4" w:space="4" w:color="auto"/>
        </w:pBdr>
        <w:rPr>
          <w:iCs/>
        </w:rPr>
      </w:pPr>
      <w:r w:rsidRPr="001955E5">
        <w:rPr>
          <w:iCs/>
        </w:rPr>
        <w:t xml:space="preserve">Northern New England Cardiovascular Disease Study Group. http://www.nnecdsg.org/pub_lit_2.htm. Accessed </w:t>
      </w:r>
      <w:r w:rsidR="00E83DBC">
        <w:rPr>
          <w:iCs/>
        </w:rPr>
        <w:t>March 7, 2018</w:t>
      </w:r>
      <w:r w:rsidRPr="001955E5">
        <w:rPr>
          <w:iCs/>
        </w:rPr>
        <w:t>.</w:t>
      </w:r>
    </w:p>
    <w:p w14:paraId="3C387EDD" w14:textId="26D619E4" w:rsidR="001955E5" w:rsidRDefault="001955E5" w:rsidP="001955E5">
      <w:pPr>
        <w:pBdr>
          <w:top w:val="single" w:sz="4" w:space="1" w:color="auto"/>
          <w:left w:val="single" w:sz="4" w:space="4" w:color="auto"/>
          <w:bottom w:val="single" w:sz="4" w:space="1" w:color="auto"/>
          <w:right w:val="single" w:sz="4" w:space="4" w:color="auto"/>
        </w:pBdr>
        <w:rPr>
          <w:iCs/>
        </w:rPr>
      </w:pPr>
      <w:r w:rsidRPr="001955E5">
        <w:rPr>
          <w:iCs/>
        </w:rPr>
        <w:t>Shroyer AL, Grover FL, Hattler B, et. al. On-pump versus off-pump coronary artery bypass surgery. N Engl J Med. 2009 Nov 5;361(19):1827-37.</w:t>
      </w:r>
    </w:p>
    <w:p w14:paraId="40B06E16" w14:textId="77777777" w:rsidR="00BE65D7" w:rsidRDefault="00B97177" w:rsidP="001955E5">
      <w:pPr>
        <w:pBdr>
          <w:top w:val="single" w:sz="4" w:space="1" w:color="auto"/>
          <w:left w:val="single" w:sz="4" w:space="4" w:color="auto"/>
          <w:bottom w:val="single" w:sz="4" w:space="1" w:color="auto"/>
          <w:right w:val="single" w:sz="4" w:space="4" w:color="auto"/>
        </w:pBdr>
        <w:rPr>
          <w:iCs/>
        </w:rPr>
      </w:pPr>
      <w:r w:rsidRPr="003D399C">
        <w:t xml:space="preserve">Tranbaugh RF, Lucido DJ, Dimitrova KR, et al. Multiple arterial bypass grafting should be routine. </w:t>
      </w:r>
      <w:r w:rsidRPr="003D399C">
        <w:rPr>
          <w:i/>
        </w:rPr>
        <w:t xml:space="preserve">J Thorac Cardiovasc Surg. </w:t>
      </w:r>
      <w:r w:rsidRPr="003D399C">
        <w:t>2015;150(6):1537-1544; discussion 1544-1535.</w:t>
      </w:r>
    </w:p>
    <w:p w14:paraId="1840953E" w14:textId="07116084" w:rsidR="001955E5" w:rsidRPr="003B1CC5" w:rsidRDefault="001955E5" w:rsidP="001955E5">
      <w:pPr>
        <w:pBdr>
          <w:top w:val="single" w:sz="4" w:space="1" w:color="auto"/>
          <w:left w:val="single" w:sz="4" w:space="4" w:color="auto"/>
          <w:bottom w:val="single" w:sz="4" w:space="1" w:color="auto"/>
          <w:right w:val="single" w:sz="4" w:space="4" w:color="auto"/>
        </w:pBdr>
        <w:rPr>
          <w:iCs/>
        </w:rPr>
      </w:pPr>
      <w:r w:rsidRPr="001955E5">
        <w:rPr>
          <w:iCs/>
        </w:rPr>
        <w:t xml:space="preserve">Williams JB, DeLong ER, Peterson ED, Dokholyan RS, Ou FS, Ferguson TB Jr.; Society of Thoracic Surgeons and the National Cardiac Database. Secondary prevention after coronary artery bypass graft surgery: </w:t>
      </w:r>
      <w:r w:rsidRPr="001955E5">
        <w:rPr>
          <w:iCs/>
        </w:rPr>
        <w:lastRenderedPageBreak/>
        <w:t>findings of a national randomized controlled trial and sustained society-led incorporation into practice. Circulation. 2011; 123: 39– 45.</w:t>
      </w:r>
    </w:p>
    <w:p w14:paraId="55B8DA65" w14:textId="77777777" w:rsidR="00676BD4" w:rsidRDefault="00676BD4" w:rsidP="002E2177">
      <w:pPr>
        <w:ind w:left="0" w:firstLine="0"/>
        <w:rPr>
          <w:i/>
          <w:iCs/>
          <w:highlight w:val="green"/>
          <w:u w:val="single"/>
        </w:rPr>
      </w:pPr>
    </w:p>
    <w:p w14:paraId="55B8DA66" w14:textId="79A9FB4D"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3044A6A4" w14:textId="77777777" w:rsidR="00262336" w:rsidRPr="00EE0076" w:rsidRDefault="00262336" w:rsidP="00262336">
      <w:pPr>
        <w:pBdr>
          <w:top w:val="single" w:sz="4" w:space="1" w:color="auto"/>
          <w:left w:val="single" w:sz="4" w:space="4" w:color="auto"/>
          <w:bottom w:val="single" w:sz="4" w:space="1" w:color="auto"/>
          <w:right w:val="single" w:sz="4" w:space="4" w:color="auto"/>
        </w:pBdr>
        <w:ind w:left="0" w:firstLine="0"/>
        <w:rPr>
          <w:iCs/>
        </w:rPr>
      </w:pPr>
      <w:r>
        <w:rPr>
          <w:iCs/>
        </w:rPr>
        <w:t>N/A. This measure is not an intermediate outcome, process, or structure performance measure.</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lastRenderedPageBreak/>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3164B">
      <w:pPr>
        <w:pBdr>
          <w:top w:val="single" w:sz="4" w:space="1" w:color="auto"/>
          <w:left w:val="single" w:sz="4" w:space="4" w:color="auto"/>
          <w:bottom w:val="single" w:sz="4" w:space="1" w:color="auto"/>
          <w:right w:val="single" w:sz="4" w:space="4" w:color="auto"/>
        </w:pBdr>
        <w:ind w:left="0" w:firstLine="0"/>
      </w:pPr>
    </w:p>
    <w:p w14:paraId="55B8DA99" w14:textId="179B58E5" w:rsidR="000E5C93" w:rsidRDefault="000E5C93" w:rsidP="002E2177">
      <w:pPr>
        <w:ind w:left="0" w:firstLine="0"/>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3DAE05F5" w14:textId="77777777" w:rsidR="0023164B" w:rsidRPr="000E5C93" w:rsidRDefault="0023164B" w:rsidP="0023164B">
      <w:pPr>
        <w:pBdr>
          <w:top w:val="single" w:sz="4" w:space="1" w:color="auto"/>
          <w:left w:val="single" w:sz="4" w:space="4" w:color="auto"/>
          <w:bottom w:val="single" w:sz="4" w:space="1" w:color="auto"/>
          <w:right w:val="single" w:sz="4" w:space="4" w:color="auto"/>
        </w:pBdr>
        <w:ind w:left="0" w:firstLine="0"/>
        <w:rPr>
          <w:color w:val="0070C0"/>
        </w:rPr>
      </w:pP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92505B">
        <w:rPr>
          <w:b/>
          <w:color w:val="0C33F8"/>
        </w:rPr>
        <w:t>1a.4.2</w:t>
      </w:r>
      <w:r w:rsidRPr="000E5C93">
        <w:rPr>
          <w:b/>
          <w:color w:val="244061" w:themeColor="accent1" w:themeShade="80"/>
        </w:rPr>
        <w:t xml:space="preserve"> </w:t>
      </w:r>
      <w:r w:rsidR="00837121" w:rsidRPr="003B1CC5">
        <w:rPr>
          <w:b/>
        </w:rPr>
        <w:t>What process was used to identify the evidence?</w:t>
      </w:r>
    </w:p>
    <w:p w14:paraId="55B8DA9C" w14:textId="77777777" w:rsidR="00837121" w:rsidRPr="003B1CC5" w:rsidRDefault="00837121" w:rsidP="0023164B">
      <w:pPr>
        <w:pBdr>
          <w:top w:val="single" w:sz="4" w:space="1" w:color="auto"/>
          <w:left w:val="single" w:sz="4" w:space="4" w:color="auto"/>
          <w:bottom w:val="single" w:sz="4" w:space="1" w:color="auto"/>
          <w:right w:val="single" w:sz="4" w:space="4" w:color="auto"/>
        </w:pBdr>
        <w:ind w:left="0" w:firstLine="0"/>
      </w:pPr>
    </w:p>
    <w:p w14:paraId="458A5710" w14:textId="77777777" w:rsidR="0023164B" w:rsidRDefault="0023164B" w:rsidP="002E2177">
      <w:pPr>
        <w:ind w:left="0" w:firstLine="0"/>
        <w:rPr>
          <w:b/>
          <w:color w:val="0000FF"/>
        </w:rPr>
      </w:pPr>
    </w:p>
    <w:p w14:paraId="55B8DA9D" w14:textId="15C51A30"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401DA035" w14:textId="77777777" w:rsidR="0023164B" w:rsidRPr="001B772D" w:rsidRDefault="0023164B" w:rsidP="0023164B">
      <w:pPr>
        <w:pBdr>
          <w:top w:val="single" w:sz="4" w:space="1" w:color="auto"/>
          <w:left w:val="single" w:sz="4" w:space="4" w:color="auto"/>
          <w:bottom w:val="single" w:sz="4" w:space="1" w:color="auto"/>
          <w:right w:val="single" w:sz="4" w:space="4" w:color="auto"/>
        </w:pBdr>
        <w:ind w:left="0" w:firstLine="0"/>
      </w:pPr>
    </w:p>
    <w:sectPr w:rsidR="0023164B" w:rsidRPr="001B772D">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EDE74" w14:textId="77777777" w:rsidR="00717125" w:rsidRDefault="00717125" w:rsidP="007E37A5">
      <w:r>
        <w:separator/>
      </w:r>
    </w:p>
  </w:endnote>
  <w:endnote w:type="continuationSeparator" w:id="0">
    <w:p w14:paraId="2A5BC43A" w14:textId="77777777" w:rsidR="00717125" w:rsidRDefault="00717125"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3D57AF1C"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6A2102">
      <w:rPr>
        <w:noProof/>
      </w:rPr>
      <w:t>2</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9F6EE" w14:textId="77777777" w:rsidR="00717125" w:rsidRDefault="00717125" w:rsidP="007E37A5">
      <w:r>
        <w:separator/>
      </w:r>
    </w:p>
  </w:footnote>
  <w:footnote w:type="continuationSeparator" w:id="0">
    <w:p w14:paraId="73E15DEC" w14:textId="77777777" w:rsidR="00717125" w:rsidRDefault="00717125"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866"/>
    <w:rsid w:val="00015986"/>
    <w:rsid w:val="000160E6"/>
    <w:rsid w:val="00017AD9"/>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1A27"/>
    <w:rsid w:val="00132070"/>
    <w:rsid w:val="0013536A"/>
    <w:rsid w:val="00141875"/>
    <w:rsid w:val="0014347E"/>
    <w:rsid w:val="00154438"/>
    <w:rsid w:val="001551F6"/>
    <w:rsid w:val="0015535B"/>
    <w:rsid w:val="00162036"/>
    <w:rsid w:val="001632DD"/>
    <w:rsid w:val="00176E60"/>
    <w:rsid w:val="00194913"/>
    <w:rsid w:val="00194D9A"/>
    <w:rsid w:val="001955E5"/>
    <w:rsid w:val="001A196B"/>
    <w:rsid w:val="001A6D05"/>
    <w:rsid w:val="001B38BF"/>
    <w:rsid w:val="001B772D"/>
    <w:rsid w:val="001D197F"/>
    <w:rsid w:val="001D5B5D"/>
    <w:rsid w:val="001E6153"/>
    <w:rsid w:val="001F5DD6"/>
    <w:rsid w:val="00201FF9"/>
    <w:rsid w:val="00205857"/>
    <w:rsid w:val="0023164B"/>
    <w:rsid w:val="00235ADC"/>
    <w:rsid w:val="00236F87"/>
    <w:rsid w:val="00262336"/>
    <w:rsid w:val="00265702"/>
    <w:rsid w:val="002662B2"/>
    <w:rsid w:val="002717C7"/>
    <w:rsid w:val="002875E9"/>
    <w:rsid w:val="00287EB3"/>
    <w:rsid w:val="002976BB"/>
    <w:rsid w:val="002A47BA"/>
    <w:rsid w:val="002A6777"/>
    <w:rsid w:val="002B06BD"/>
    <w:rsid w:val="002C0E48"/>
    <w:rsid w:val="002C6F04"/>
    <w:rsid w:val="002E2177"/>
    <w:rsid w:val="002E2E41"/>
    <w:rsid w:val="002E78CD"/>
    <w:rsid w:val="002F20A7"/>
    <w:rsid w:val="003008F4"/>
    <w:rsid w:val="00302B1D"/>
    <w:rsid w:val="00307FA5"/>
    <w:rsid w:val="003237EF"/>
    <w:rsid w:val="00324D64"/>
    <w:rsid w:val="003351CF"/>
    <w:rsid w:val="00343B64"/>
    <w:rsid w:val="00352B52"/>
    <w:rsid w:val="0035760D"/>
    <w:rsid w:val="003628AC"/>
    <w:rsid w:val="00363ECC"/>
    <w:rsid w:val="0039020B"/>
    <w:rsid w:val="00395263"/>
    <w:rsid w:val="003956E0"/>
    <w:rsid w:val="0039609A"/>
    <w:rsid w:val="00397500"/>
    <w:rsid w:val="003A7CBB"/>
    <w:rsid w:val="003B1CC5"/>
    <w:rsid w:val="003B65CE"/>
    <w:rsid w:val="003D6721"/>
    <w:rsid w:val="003E039E"/>
    <w:rsid w:val="0040230E"/>
    <w:rsid w:val="0041662F"/>
    <w:rsid w:val="00422917"/>
    <w:rsid w:val="00440687"/>
    <w:rsid w:val="0044131D"/>
    <w:rsid w:val="00441ADA"/>
    <w:rsid w:val="00457E46"/>
    <w:rsid w:val="004922E4"/>
    <w:rsid w:val="00496AF8"/>
    <w:rsid w:val="004A1E4E"/>
    <w:rsid w:val="004A2FD9"/>
    <w:rsid w:val="004A575D"/>
    <w:rsid w:val="004B65C6"/>
    <w:rsid w:val="004B699F"/>
    <w:rsid w:val="004D1DC7"/>
    <w:rsid w:val="004E7215"/>
    <w:rsid w:val="004F7D7E"/>
    <w:rsid w:val="00500B0C"/>
    <w:rsid w:val="00515FDB"/>
    <w:rsid w:val="00537150"/>
    <w:rsid w:val="00540984"/>
    <w:rsid w:val="00543851"/>
    <w:rsid w:val="0055559D"/>
    <w:rsid w:val="005569AE"/>
    <w:rsid w:val="00573A3A"/>
    <w:rsid w:val="005857F8"/>
    <w:rsid w:val="005B0D18"/>
    <w:rsid w:val="005B12C3"/>
    <w:rsid w:val="005B409D"/>
    <w:rsid w:val="005D0FDB"/>
    <w:rsid w:val="005D25E9"/>
    <w:rsid w:val="005D6D59"/>
    <w:rsid w:val="0061327A"/>
    <w:rsid w:val="00617390"/>
    <w:rsid w:val="00623420"/>
    <w:rsid w:val="00634768"/>
    <w:rsid w:val="0063596F"/>
    <w:rsid w:val="006709EB"/>
    <w:rsid w:val="00671ABE"/>
    <w:rsid w:val="00672824"/>
    <w:rsid w:val="00675C3D"/>
    <w:rsid w:val="00676BD4"/>
    <w:rsid w:val="0068184A"/>
    <w:rsid w:val="00694904"/>
    <w:rsid w:val="006A0249"/>
    <w:rsid w:val="006A2102"/>
    <w:rsid w:val="006B5C51"/>
    <w:rsid w:val="006C7F30"/>
    <w:rsid w:val="006D43FF"/>
    <w:rsid w:val="006E6FDD"/>
    <w:rsid w:val="006F4B7F"/>
    <w:rsid w:val="006F760B"/>
    <w:rsid w:val="00701CC3"/>
    <w:rsid w:val="00717125"/>
    <w:rsid w:val="00724801"/>
    <w:rsid w:val="00734949"/>
    <w:rsid w:val="00736AEC"/>
    <w:rsid w:val="00736E0F"/>
    <w:rsid w:val="007434FA"/>
    <w:rsid w:val="007573F0"/>
    <w:rsid w:val="00757B7D"/>
    <w:rsid w:val="00763B25"/>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A58B9"/>
    <w:rsid w:val="008B51D9"/>
    <w:rsid w:val="008B652E"/>
    <w:rsid w:val="008C3E76"/>
    <w:rsid w:val="008D05B7"/>
    <w:rsid w:val="008D1CA0"/>
    <w:rsid w:val="008F1DC6"/>
    <w:rsid w:val="008F3540"/>
    <w:rsid w:val="008F6F51"/>
    <w:rsid w:val="00905C5B"/>
    <w:rsid w:val="00923295"/>
    <w:rsid w:val="0092505B"/>
    <w:rsid w:val="00925F11"/>
    <w:rsid w:val="00935265"/>
    <w:rsid w:val="0094689F"/>
    <w:rsid w:val="009477D6"/>
    <w:rsid w:val="00953ED3"/>
    <w:rsid w:val="00965FF6"/>
    <w:rsid w:val="009846D6"/>
    <w:rsid w:val="0098657F"/>
    <w:rsid w:val="0099364C"/>
    <w:rsid w:val="009A3236"/>
    <w:rsid w:val="009B5A93"/>
    <w:rsid w:val="009B5BEA"/>
    <w:rsid w:val="009C252E"/>
    <w:rsid w:val="009C291F"/>
    <w:rsid w:val="009E37BD"/>
    <w:rsid w:val="009E6B86"/>
    <w:rsid w:val="00A03301"/>
    <w:rsid w:val="00A12762"/>
    <w:rsid w:val="00A13867"/>
    <w:rsid w:val="00A173E7"/>
    <w:rsid w:val="00A26FED"/>
    <w:rsid w:val="00A339EE"/>
    <w:rsid w:val="00A421D4"/>
    <w:rsid w:val="00A44FF0"/>
    <w:rsid w:val="00A4744B"/>
    <w:rsid w:val="00A50E55"/>
    <w:rsid w:val="00A67EB1"/>
    <w:rsid w:val="00A9011D"/>
    <w:rsid w:val="00A91A47"/>
    <w:rsid w:val="00A95D2B"/>
    <w:rsid w:val="00AA5587"/>
    <w:rsid w:val="00AA768B"/>
    <w:rsid w:val="00AB4ECE"/>
    <w:rsid w:val="00AC1E53"/>
    <w:rsid w:val="00AD79C8"/>
    <w:rsid w:val="00AE6CE0"/>
    <w:rsid w:val="00B058A6"/>
    <w:rsid w:val="00B117D0"/>
    <w:rsid w:val="00B13998"/>
    <w:rsid w:val="00B3226B"/>
    <w:rsid w:val="00B35C5F"/>
    <w:rsid w:val="00B439DD"/>
    <w:rsid w:val="00B52E0F"/>
    <w:rsid w:val="00B74629"/>
    <w:rsid w:val="00B87AD5"/>
    <w:rsid w:val="00B87AEA"/>
    <w:rsid w:val="00B91F58"/>
    <w:rsid w:val="00B97177"/>
    <w:rsid w:val="00BA579E"/>
    <w:rsid w:val="00BE2295"/>
    <w:rsid w:val="00BE6373"/>
    <w:rsid w:val="00BE65D7"/>
    <w:rsid w:val="00BF533A"/>
    <w:rsid w:val="00C05685"/>
    <w:rsid w:val="00C134AC"/>
    <w:rsid w:val="00C41794"/>
    <w:rsid w:val="00C46677"/>
    <w:rsid w:val="00C5180E"/>
    <w:rsid w:val="00C54E40"/>
    <w:rsid w:val="00C55F56"/>
    <w:rsid w:val="00C57BA4"/>
    <w:rsid w:val="00C6061F"/>
    <w:rsid w:val="00C613EB"/>
    <w:rsid w:val="00C71C1A"/>
    <w:rsid w:val="00C84623"/>
    <w:rsid w:val="00CB06C9"/>
    <w:rsid w:val="00CB1E41"/>
    <w:rsid w:val="00CB271C"/>
    <w:rsid w:val="00CB6182"/>
    <w:rsid w:val="00CC0F87"/>
    <w:rsid w:val="00CC53FF"/>
    <w:rsid w:val="00CE4F96"/>
    <w:rsid w:val="00CF0AB1"/>
    <w:rsid w:val="00CF4B9B"/>
    <w:rsid w:val="00CF55E6"/>
    <w:rsid w:val="00CF772F"/>
    <w:rsid w:val="00D048DB"/>
    <w:rsid w:val="00D14F0B"/>
    <w:rsid w:val="00D178CA"/>
    <w:rsid w:val="00D3311C"/>
    <w:rsid w:val="00D451C8"/>
    <w:rsid w:val="00D53405"/>
    <w:rsid w:val="00D5457B"/>
    <w:rsid w:val="00D72995"/>
    <w:rsid w:val="00D73685"/>
    <w:rsid w:val="00DA7FA2"/>
    <w:rsid w:val="00DC2D8D"/>
    <w:rsid w:val="00DC7F67"/>
    <w:rsid w:val="00DE1F5D"/>
    <w:rsid w:val="00DE50D8"/>
    <w:rsid w:val="00DF278A"/>
    <w:rsid w:val="00E12153"/>
    <w:rsid w:val="00E1664B"/>
    <w:rsid w:val="00E30D12"/>
    <w:rsid w:val="00E3394E"/>
    <w:rsid w:val="00E35241"/>
    <w:rsid w:val="00E41417"/>
    <w:rsid w:val="00E42FAA"/>
    <w:rsid w:val="00E536D3"/>
    <w:rsid w:val="00E57BE2"/>
    <w:rsid w:val="00E62A95"/>
    <w:rsid w:val="00E746A2"/>
    <w:rsid w:val="00E83DBC"/>
    <w:rsid w:val="00E90D06"/>
    <w:rsid w:val="00E97E59"/>
    <w:rsid w:val="00EA79C9"/>
    <w:rsid w:val="00EB66AC"/>
    <w:rsid w:val="00EC1225"/>
    <w:rsid w:val="00EC2247"/>
    <w:rsid w:val="00EE1F87"/>
    <w:rsid w:val="00EE3931"/>
    <w:rsid w:val="00EE5AF6"/>
    <w:rsid w:val="00EF2CEF"/>
    <w:rsid w:val="00F1092D"/>
    <w:rsid w:val="00F24C04"/>
    <w:rsid w:val="00F42C20"/>
    <w:rsid w:val="00F431D8"/>
    <w:rsid w:val="00F63E8D"/>
    <w:rsid w:val="00F67706"/>
    <w:rsid w:val="00F81FE3"/>
    <w:rsid w:val="00F90F82"/>
    <w:rsid w:val="00F92D75"/>
    <w:rsid w:val="00F97327"/>
    <w:rsid w:val="00FA296F"/>
    <w:rsid w:val="00FA4E05"/>
    <w:rsid w:val="00FA7323"/>
    <w:rsid w:val="00FB1299"/>
    <w:rsid w:val="00FC32D3"/>
    <w:rsid w:val="00FD4D82"/>
    <w:rsid w:val="00FE57AE"/>
    <w:rsid w:val="00FF3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9DB320EF2ACF41C6AA307381EC78B9AE"/>
        <w:category>
          <w:name w:val="General"/>
          <w:gallery w:val="placeholder"/>
        </w:category>
        <w:types>
          <w:type w:val="bbPlcHdr"/>
        </w:types>
        <w:behaviors>
          <w:behavior w:val="content"/>
        </w:behaviors>
        <w:guid w:val="{05D75653-E26D-4638-9356-A0FD4E5F5AA3}"/>
      </w:docPartPr>
      <w:docPartBody>
        <w:p w:rsidR="000E795E" w:rsidRDefault="00B92810" w:rsidP="00B92810">
          <w:pPr>
            <w:pStyle w:val="9DB320EF2ACF41C6AA307381EC78B9AE"/>
          </w:pPr>
          <w:r w:rsidRPr="00B83B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E795E"/>
    <w:rsid w:val="00160241"/>
    <w:rsid w:val="001F47A0"/>
    <w:rsid w:val="002B5F47"/>
    <w:rsid w:val="003A1E4B"/>
    <w:rsid w:val="00455EB5"/>
    <w:rsid w:val="00461C1C"/>
    <w:rsid w:val="004E2027"/>
    <w:rsid w:val="005F21F3"/>
    <w:rsid w:val="00656EAC"/>
    <w:rsid w:val="0083603C"/>
    <w:rsid w:val="008F6A9B"/>
    <w:rsid w:val="00985993"/>
    <w:rsid w:val="00A23954"/>
    <w:rsid w:val="00A77B15"/>
    <w:rsid w:val="00B743A0"/>
    <w:rsid w:val="00B92810"/>
    <w:rsid w:val="00BE0F2D"/>
    <w:rsid w:val="00C03643"/>
    <w:rsid w:val="00C2797F"/>
    <w:rsid w:val="00C80225"/>
    <w:rsid w:val="00D228C9"/>
    <w:rsid w:val="00D2552B"/>
    <w:rsid w:val="00D75B64"/>
    <w:rsid w:val="00DB5324"/>
    <w:rsid w:val="00E068DD"/>
    <w:rsid w:val="00E97654"/>
    <w:rsid w:val="00EA555A"/>
    <w:rsid w:val="00EB3BF2"/>
    <w:rsid w:val="00F13B23"/>
    <w:rsid w:val="00F21A4B"/>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2810"/>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B1D26D3F30AB4C99913CDB40D29DFFF3">
    <w:name w:val="B1D26D3F30AB4C99913CDB40D29DFFF3"/>
    <w:rsid w:val="00B92810"/>
    <w:pPr>
      <w:spacing w:after="160" w:line="259" w:lineRule="auto"/>
    </w:pPr>
  </w:style>
  <w:style w:type="paragraph" w:customStyle="1" w:styleId="9DB320EF2ACF41C6AA307381EC78B9AE">
    <w:name w:val="9DB320EF2ACF41C6AA307381EC78B9AE"/>
    <w:rsid w:val="00B9281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5.xml><?xml version="1.0" encoding="utf-8"?>
<ds:datastoreItem xmlns:ds="http://schemas.openxmlformats.org/officeDocument/2006/customXml" ds:itemID="{CF3A5BF4-5111-4E72-9BE3-8E09FA444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1807</Words>
  <Characters>10304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Loh, Keith</cp:lastModifiedBy>
  <cp:revision>2</cp:revision>
  <dcterms:created xsi:type="dcterms:W3CDTF">2018-04-13T16:56:00Z</dcterms:created>
  <dcterms:modified xsi:type="dcterms:W3CDTF">2018-04-13T16:56:00Z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